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управления кадрами в государственной гражданской и муниципальной службе</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управления кадрами в государственной гражданской и муниципальной службе»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«Система управления кадрами в государственной гражданской и муниципальной службе».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управления кадрами в государственной гражданской и муниципальной службе»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передовой российский и зарубежный опыт отбора, оценки, адаптации и мотивации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принципы формирования и работы с кадровым резервом в государственном органе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 на государственной гражданской и муниципальной службе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вопросы планирования и организации работы по профессиональному развитию кадрового состава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использовать в профессиональной деятельности передовой российский и зарубежный опыт отбора, оценки, адаптации и мотивации персонала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определять оптимальную кадровую стратегию и кадровую политику организации; психологию и социологию труда; общие тенденции развития на рынке труда, в отдельных отраслях и видах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разработки и применения в профессиональной деятельности кадровой стратегии и кадровой политики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владеть навыками использования в работе передового российского и зарубежного опыта отбора, оценки, адаптации и мотивации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«Система управления кадрами в государственной гражданской и муниципальной службе» относится к обязательной части, является дисциплиной Блока Б1. «Дисциплины (модули)». Модуль "Современные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управлению кадрами</w:t>
            </w:r>
          </w:p>
          <w:p>
            <w:pPr>
              <w:jc w:val="center"/>
              <w:spacing w:after="0" w:line="240" w:lineRule="auto"/>
              <w:rPr>
                <w:sz w:val="22"/>
                <w:szCs w:val="22"/>
              </w:rPr>
            </w:pPr>
            <w:r>
              <w:rPr>
                <w:rFonts w:ascii="Times New Roman" w:hAnsi="Times New Roman" w:cs="Times New Roman"/>
                <w:color w:val="#000000"/>
                <w:sz w:val="22"/>
                <w:szCs w:val="22"/>
              </w:rPr>
              <w:t> Проектирование профессиональной подготовки, переподготовки и повышения квалификации государственных гражданских и муниципальных служащих (практикум)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кадрами в системе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персоналом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 в ГМУ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92.3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 ГМУ</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персоналом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персонала.</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 ГМУ</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персоналом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управления кадрами в государственной гражданской и муниципальной службе»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Гуськова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Краковская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Ерастова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https://www.biblio-online.ru/bcode/438218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7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2024-2025_ФГОС3++2024_Бак-ЗФО-ГМУ(ГМС)(24)_plx_Система управления кадрами в государственной гражданской и муниципальной службе</dc:title>
  <dc:creator>FastReport.NET</dc:creator>
</cp:coreProperties>
</file>